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8195F" w14:textId="77777777" w:rsidR="00CF51D8" w:rsidRPr="00CF51D8" w:rsidRDefault="00CF51D8" w:rsidP="00CF51D8">
      <w:pPr>
        <w:rPr>
          <w:rFonts w:eastAsia="SimSun"/>
          <w:b/>
          <w:szCs w:val="24"/>
          <w:shd w:val="clear" w:color="auto" w:fill="FFFFFF"/>
        </w:rPr>
      </w:pPr>
      <w:r w:rsidRPr="00CF51D8">
        <w:rPr>
          <w:rFonts w:eastAsia="SimSun"/>
          <w:b/>
          <w:szCs w:val="24"/>
          <w:shd w:val="clear" w:color="auto" w:fill="FFFFFF"/>
        </w:rPr>
        <w:t>Supplementary Material</w:t>
      </w:r>
    </w:p>
    <w:p w14:paraId="27DB3D3C" w14:textId="0E055B30" w:rsidR="00CF51D8" w:rsidRPr="00085452" w:rsidRDefault="00072E82" w:rsidP="00CF51D8">
      <w:pPr>
        <w:pStyle w:val="Title"/>
        <w:rPr>
          <w:rFonts w:ascii="Arial" w:hAnsi="Arial" w:cs="Arial"/>
          <w:sz w:val="32"/>
          <w:szCs w:val="32"/>
        </w:rPr>
      </w:pPr>
      <w:bookmarkStart w:id="0" w:name="OLE_LINK1"/>
      <w:r w:rsidRPr="00072E82">
        <w:rPr>
          <w:rFonts w:ascii="Arial" w:hAnsi="Arial" w:cs="Arial"/>
          <w:sz w:val="32"/>
          <w:szCs w:val="32"/>
        </w:rPr>
        <w:t>Integrative Mendelian Randomization and Proteomic Analyses Reveal Genetically Supported Candidate Causal Biomarkers for Non-Traumatic Osteonecrosis of the Femoral Head</w:t>
      </w:r>
    </w:p>
    <w:bookmarkEnd w:id="0"/>
    <w:p w14:paraId="286CC34C" w14:textId="32049289" w:rsidR="00CF51D8" w:rsidRPr="00CF51D8" w:rsidRDefault="00CF51D8" w:rsidP="00CF51D8">
      <w:pPr>
        <w:rPr>
          <w:vertAlign w:val="superscript"/>
          <w:lang w:eastAsia="zh-CN"/>
        </w:rPr>
      </w:pPr>
      <w:r w:rsidRPr="003334C3">
        <w:rPr>
          <w:vertAlign w:val="superscript"/>
        </w:rPr>
        <w:t>‡</w:t>
      </w:r>
      <w:r w:rsidRPr="00036C57">
        <w:t xml:space="preserve"> Zhangzheng Wang</w:t>
      </w:r>
      <w:r w:rsidRPr="00EC05E5">
        <w:t xml:space="preserve">, </w:t>
      </w:r>
      <w:r w:rsidRPr="003334C3">
        <w:rPr>
          <w:vertAlign w:val="superscript"/>
        </w:rPr>
        <w:t>‡</w:t>
      </w:r>
      <w:r w:rsidRPr="00036C57">
        <w:t>Liang Mo</w:t>
      </w:r>
      <w:r w:rsidRPr="00EC05E5">
        <w:t xml:space="preserve">, </w:t>
      </w:r>
      <w:r w:rsidRPr="00036C57">
        <w:t>Wei He</w:t>
      </w:r>
      <w:r w:rsidRPr="00EC05E5">
        <w:t>,</w:t>
      </w:r>
      <w:r w:rsidRPr="00036C57">
        <w:t xml:space="preserve"> </w:t>
      </w:r>
      <w:proofErr w:type="spellStart"/>
      <w:r w:rsidRPr="00036C57">
        <w:t>Youwen</w:t>
      </w:r>
      <w:proofErr w:type="spellEnd"/>
      <w:r w:rsidRPr="00036C57">
        <w:t xml:space="preserve"> Liu</w:t>
      </w:r>
      <w:r w:rsidRPr="00EC05E5">
        <w:t>,</w:t>
      </w:r>
      <w:r w:rsidRPr="00036C57">
        <w:t xml:space="preserve"> Csaba Matta</w:t>
      </w:r>
      <w:r w:rsidRPr="00EC05E5">
        <w:t xml:space="preserve">, </w:t>
      </w:r>
      <w:r w:rsidRPr="00036C57">
        <w:t>Yuhao Liu</w:t>
      </w:r>
    </w:p>
    <w:p w14:paraId="620A7057" w14:textId="77777777" w:rsidR="00CF51D8" w:rsidRDefault="00CF51D8" w:rsidP="00CF51D8">
      <w:pPr>
        <w:rPr>
          <w:szCs w:val="24"/>
          <w:vertAlign w:val="superscript"/>
        </w:rPr>
      </w:pPr>
    </w:p>
    <w:p w14:paraId="7331745F" w14:textId="137747CE" w:rsidR="00CF51D8" w:rsidRPr="001A46AE" w:rsidRDefault="00CF51D8" w:rsidP="00CF51D8">
      <w:r w:rsidRPr="00482065">
        <w:rPr>
          <w:b/>
          <w:szCs w:val="24"/>
        </w:rPr>
        <w:t>* Corresponding Author</w:t>
      </w:r>
      <w:r>
        <w:rPr>
          <w:b/>
          <w:szCs w:val="24"/>
        </w:rPr>
        <w:t>(s)</w:t>
      </w:r>
      <w:r w:rsidRPr="00482065">
        <w:rPr>
          <w:b/>
          <w:szCs w:val="24"/>
        </w:rPr>
        <w:t xml:space="preserve">: </w:t>
      </w:r>
      <w:r w:rsidRPr="00482065">
        <w:rPr>
          <w:szCs w:val="24"/>
        </w:rPr>
        <w:br/>
      </w:r>
      <w:r w:rsidRPr="00E15857">
        <w:t>Yuhao Liu</w:t>
      </w:r>
      <w:r>
        <w:t xml:space="preserve"> (</w:t>
      </w:r>
      <w:r w:rsidRPr="00E15857">
        <w:t>doctor_yuhaoliu@126.com</w:t>
      </w:r>
      <w:r>
        <w:t>)</w:t>
      </w:r>
    </w:p>
    <w:p w14:paraId="4B4A66EF" w14:textId="77777777" w:rsidR="00CF51D8" w:rsidRDefault="00CF51D8" w:rsidP="00CF51D8">
      <w:pPr>
        <w:rPr>
          <w:szCs w:val="24"/>
        </w:rPr>
      </w:pPr>
      <w:r w:rsidRPr="00E15857">
        <w:rPr>
          <w:szCs w:val="24"/>
        </w:rPr>
        <w:t xml:space="preserve">12 </w:t>
      </w:r>
      <w:proofErr w:type="spellStart"/>
      <w:r w:rsidRPr="00E15857">
        <w:rPr>
          <w:szCs w:val="24"/>
        </w:rPr>
        <w:t>Jichang</w:t>
      </w:r>
      <w:proofErr w:type="spellEnd"/>
      <w:r w:rsidRPr="00E15857">
        <w:rPr>
          <w:szCs w:val="24"/>
        </w:rPr>
        <w:t xml:space="preserve"> Road, Guangzhou, China</w:t>
      </w:r>
    </w:p>
    <w:p w14:paraId="5904AC39" w14:textId="77777777" w:rsidR="00CF51D8" w:rsidRPr="00EC05E5" w:rsidRDefault="00CF51D8" w:rsidP="00CF51D8">
      <w:pPr>
        <w:rPr>
          <w:szCs w:val="24"/>
          <w:lang w:eastAsia="zh-CN"/>
        </w:rPr>
      </w:pPr>
    </w:p>
    <w:p w14:paraId="234FEBCA" w14:textId="77777777" w:rsidR="00CF51D8" w:rsidRPr="001A46AE" w:rsidRDefault="00CF51D8" w:rsidP="00CF51D8">
      <w:r w:rsidRPr="00036C57">
        <w:t>Csaba Matta</w:t>
      </w:r>
      <w:r>
        <w:t xml:space="preserve"> (</w:t>
      </w:r>
      <w:r w:rsidRPr="00E15857">
        <w:t>matta.csaba@med.unideb.hu</w:t>
      </w:r>
      <w:r>
        <w:t>)</w:t>
      </w:r>
    </w:p>
    <w:p w14:paraId="4C156785" w14:textId="77777777" w:rsidR="00CF51D8" w:rsidRDefault="00CF51D8" w:rsidP="00CF51D8">
      <w:pPr>
        <w:rPr>
          <w:szCs w:val="24"/>
        </w:rPr>
      </w:pPr>
      <w:proofErr w:type="spellStart"/>
      <w:r w:rsidRPr="00DB5D9A">
        <w:rPr>
          <w:szCs w:val="24"/>
        </w:rPr>
        <w:t>Egyetem</w:t>
      </w:r>
      <w:proofErr w:type="spellEnd"/>
      <w:r w:rsidRPr="00DB5D9A">
        <w:rPr>
          <w:szCs w:val="24"/>
        </w:rPr>
        <w:t xml:space="preserve"> </w:t>
      </w:r>
      <w:proofErr w:type="spellStart"/>
      <w:r w:rsidRPr="00DB5D9A">
        <w:rPr>
          <w:szCs w:val="24"/>
        </w:rPr>
        <w:t>tér</w:t>
      </w:r>
      <w:proofErr w:type="spellEnd"/>
      <w:r w:rsidRPr="00DB5D9A">
        <w:rPr>
          <w:szCs w:val="24"/>
        </w:rPr>
        <w:t xml:space="preserve"> 1, H</w:t>
      </w:r>
      <w:r w:rsidRPr="00DB5D9A">
        <w:rPr>
          <w:rFonts w:ascii="Cambria Math" w:hAnsi="Cambria Math" w:cs="Cambria Math"/>
          <w:szCs w:val="24"/>
        </w:rPr>
        <w:t>‑</w:t>
      </w:r>
      <w:r w:rsidRPr="00DB5D9A">
        <w:rPr>
          <w:szCs w:val="24"/>
        </w:rPr>
        <w:t xml:space="preserve">4032 Debrecen, Hungary </w:t>
      </w:r>
    </w:p>
    <w:p w14:paraId="216567BF" w14:textId="77777777" w:rsidR="00CF51D8" w:rsidRDefault="00CF51D8" w:rsidP="00CF51D8">
      <w:pPr>
        <w:rPr>
          <w:szCs w:val="24"/>
          <w:lang w:eastAsia="zh-CN"/>
        </w:rPr>
      </w:pPr>
    </w:p>
    <w:p w14:paraId="2115BD38" w14:textId="77777777" w:rsidR="00CF51D8" w:rsidRDefault="00CF51D8" w:rsidP="00CF51D8">
      <w:pPr>
        <w:rPr>
          <w:szCs w:val="24"/>
          <w:lang w:eastAsia="zh-CN"/>
        </w:rPr>
      </w:pPr>
    </w:p>
    <w:p w14:paraId="390C6AA7" w14:textId="375CAA69" w:rsidR="00CF51D8" w:rsidRPr="00CF51D8" w:rsidRDefault="00CF51D8" w:rsidP="00CF51D8">
      <w:pPr>
        <w:rPr>
          <w:rFonts w:eastAsia="SimSun"/>
          <w:b/>
          <w:szCs w:val="24"/>
          <w:shd w:val="clear" w:color="auto" w:fill="FFFFFF"/>
          <w:lang w:eastAsia="zh-CN"/>
        </w:rPr>
      </w:pPr>
      <w:r w:rsidRPr="00CF51D8">
        <w:rPr>
          <w:rFonts w:eastAsia="SimSun"/>
          <w:b/>
          <w:szCs w:val="24"/>
          <w:shd w:val="clear" w:color="auto" w:fill="FFFFFF"/>
        </w:rPr>
        <w:t>Contents</w:t>
      </w:r>
    </w:p>
    <w:p w14:paraId="34E54CC9" w14:textId="70016B1D" w:rsidR="00CF51D8" w:rsidRPr="00CF51D8" w:rsidRDefault="00CF51D8" w:rsidP="00CF51D8">
      <w:pPr>
        <w:rPr>
          <w:lang w:val="en-GB" w:eastAsia="zh-CN"/>
        </w:rPr>
      </w:pPr>
      <w:r w:rsidRPr="00CF51D8">
        <w:rPr>
          <w:b/>
          <w:bCs/>
          <w:lang w:val="en-GB" w:eastAsia="zh-CN"/>
        </w:rPr>
        <w:t>Figure S1.</w:t>
      </w:r>
      <w:r w:rsidRPr="00CF51D8">
        <w:rPr>
          <w:rFonts w:hint="eastAsia"/>
          <w:b/>
          <w:bCs/>
          <w:lang w:val="en-GB" w:eastAsia="zh-CN"/>
        </w:rPr>
        <w:t xml:space="preserve"> </w:t>
      </w:r>
      <w:r w:rsidRPr="00CF51D8">
        <w:rPr>
          <w:lang w:val="en-GB" w:eastAsia="zh-CN"/>
        </w:rPr>
        <w:t>Cell Subpopulation Annotation and Classical Marker Expression</w:t>
      </w:r>
      <w:r>
        <w:rPr>
          <w:rFonts w:hint="eastAsia"/>
          <w:lang w:val="en-GB" w:eastAsia="zh-CN"/>
        </w:rPr>
        <w:t>.</w:t>
      </w:r>
    </w:p>
    <w:p w14:paraId="5D320AF3" w14:textId="530D945B" w:rsidR="00CF51D8" w:rsidRPr="00CF51D8" w:rsidRDefault="00CF51D8" w:rsidP="00CF51D8">
      <w:pPr>
        <w:rPr>
          <w:lang w:val="en-GB" w:eastAsia="zh-CN"/>
        </w:rPr>
      </w:pPr>
      <w:r w:rsidRPr="00CF51D8">
        <w:rPr>
          <w:b/>
          <w:bCs/>
          <w:lang w:val="en-GB" w:eastAsia="zh-CN"/>
        </w:rPr>
        <w:t>Figure S2.</w:t>
      </w:r>
      <w:r>
        <w:rPr>
          <w:rFonts w:hint="eastAsia"/>
          <w:lang w:val="en-GB" w:eastAsia="zh-CN"/>
        </w:rPr>
        <w:t xml:space="preserve"> </w:t>
      </w:r>
      <w:r w:rsidRPr="00CF51D8">
        <w:rPr>
          <w:lang w:val="en-GB" w:eastAsia="zh-CN"/>
        </w:rPr>
        <w:t>DotPlot of Four Causal Biomarkers from Musculoskeletal Tissues Across Cell Subpopulations</w:t>
      </w:r>
      <w:r>
        <w:rPr>
          <w:rFonts w:hint="eastAsia"/>
          <w:lang w:val="en-GB" w:eastAsia="zh-CN"/>
        </w:rPr>
        <w:t>.</w:t>
      </w:r>
    </w:p>
    <w:p w14:paraId="1ADD31EE" w14:textId="1F65EB3B" w:rsidR="008527D6" w:rsidRDefault="00CF51D8" w:rsidP="00CF51D8">
      <w:pPr>
        <w:rPr>
          <w:lang w:val="en-GB" w:eastAsia="zh-CN"/>
        </w:rPr>
      </w:pPr>
      <w:r w:rsidRPr="00CF51D8">
        <w:rPr>
          <w:b/>
          <w:bCs/>
          <w:lang w:val="en-GB" w:eastAsia="zh-CN"/>
        </w:rPr>
        <w:t>Figure S3.</w:t>
      </w:r>
      <w:r>
        <w:rPr>
          <w:rFonts w:hint="eastAsia"/>
          <w:lang w:val="en-GB" w:eastAsia="zh-CN"/>
        </w:rPr>
        <w:t xml:space="preserve"> </w:t>
      </w:r>
      <w:r w:rsidRPr="00CF51D8">
        <w:rPr>
          <w:lang w:val="en-GB" w:eastAsia="zh-CN"/>
        </w:rPr>
        <w:t xml:space="preserve">Chord diagram showing the sender–receiver relationships of major </w:t>
      </w:r>
      <w:proofErr w:type="spellStart"/>
      <w:r w:rsidRPr="00CF51D8">
        <w:rPr>
          <w:lang w:val="en-GB" w:eastAsia="zh-CN"/>
        </w:rPr>
        <w:t>signaling</w:t>
      </w:r>
      <w:proofErr w:type="spellEnd"/>
      <w:r w:rsidRPr="00CF51D8">
        <w:rPr>
          <w:lang w:val="en-GB" w:eastAsia="zh-CN"/>
        </w:rPr>
        <w:t xml:space="preserve"> pathways among six cell subpopulations</w:t>
      </w:r>
      <w:r>
        <w:rPr>
          <w:rFonts w:hint="eastAsia"/>
          <w:lang w:val="en-GB" w:eastAsia="zh-CN"/>
        </w:rPr>
        <w:t>.</w:t>
      </w:r>
    </w:p>
    <w:p w14:paraId="38AEA813" w14:textId="77777777" w:rsidR="00CF51D8" w:rsidRDefault="00CF51D8" w:rsidP="00CF51D8">
      <w:pPr>
        <w:rPr>
          <w:lang w:val="en-GB" w:eastAsia="zh-CN"/>
        </w:rPr>
      </w:pPr>
    </w:p>
    <w:p w14:paraId="20A65CAF" w14:textId="77777777" w:rsidR="00CF51D8" w:rsidRDefault="00CF51D8" w:rsidP="00CF51D8">
      <w:pPr>
        <w:rPr>
          <w:lang w:val="en-GB" w:eastAsia="zh-CN"/>
        </w:rPr>
      </w:pPr>
    </w:p>
    <w:p w14:paraId="7CF9CC67" w14:textId="77777777" w:rsidR="00CF51D8" w:rsidRDefault="00CF51D8" w:rsidP="00CF51D8">
      <w:pPr>
        <w:rPr>
          <w:lang w:val="en-GB" w:eastAsia="zh-CN"/>
        </w:rPr>
      </w:pPr>
    </w:p>
    <w:p w14:paraId="70B102A9" w14:textId="77777777" w:rsidR="00CF51D8" w:rsidRDefault="00CF51D8" w:rsidP="00CF51D8">
      <w:pPr>
        <w:rPr>
          <w:lang w:val="en-GB" w:eastAsia="zh-CN"/>
        </w:rPr>
      </w:pPr>
    </w:p>
    <w:p w14:paraId="70936A39" w14:textId="77777777" w:rsidR="00CF51D8" w:rsidRDefault="00CF51D8" w:rsidP="00CF51D8">
      <w:pPr>
        <w:rPr>
          <w:lang w:val="en-GB" w:eastAsia="zh-CN"/>
        </w:rPr>
      </w:pPr>
    </w:p>
    <w:p w14:paraId="3D26DEF9" w14:textId="77777777" w:rsidR="00CF51D8" w:rsidRDefault="00CF51D8" w:rsidP="00CF51D8">
      <w:pPr>
        <w:rPr>
          <w:lang w:val="en-GB" w:eastAsia="zh-CN"/>
        </w:rPr>
      </w:pPr>
    </w:p>
    <w:p w14:paraId="366B81DB" w14:textId="77777777" w:rsidR="00CF51D8" w:rsidRDefault="00CF51D8" w:rsidP="00CF51D8">
      <w:pPr>
        <w:rPr>
          <w:lang w:val="en-GB" w:eastAsia="zh-CN"/>
        </w:rPr>
      </w:pPr>
    </w:p>
    <w:p w14:paraId="2AA3DA5A" w14:textId="77777777" w:rsidR="00CF51D8" w:rsidRDefault="00CF51D8" w:rsidP="00CF51D8">
      <w:pPr>
        <w:rPr>
          <w:lang w:val="en-GB" w:eastAsia="zh-CN"/>
        </w:rPr>
      </w:pPr>
    </w:p>
    <w:p w14:paraId="21D9D573" w14:textId="77777777" w:rsidR="00CF51D8" w:rsidRDefault="00CF51D8" w:rsidP="00CF51D8">
      <w:pPr>
        <w:rPr>
          <w:lang w:val="en-GB" w:eastAsia="zh-CN"/>
        </w:rPr>
      </w:pPr>
    </w:p>
    <w:p w14:paraId="74EB5025" w14:textId="77777777" w:rsidR="00CF51D8" w:rsidRDefault="00CF51D8" w:rsidP="00CF51D8">
      <w:pPr>
        <w:rPr>
          <w:lang w:val="en-GB" w:eastAsia="zh-CN"/>
        </w:rPr>
      </w:pPr>
    </w:p>
    <w:p w14:paraId="0B1E1AE9" w14:textId="77777777" w:rsidR="00CF51D8" w:rsidRDefault="00CF51D8" w:rsidP="00CF51D8">
      <w:pPr>
        <w:rPr>
          <w:lang w:val="en-GB" w:eastAsia="zh-CN"/>
        </w:rPr>
      </w:pPr>
    </w:p>
    <w:p w14:paraId="6BA2B3F1" w14:textId="77777777" w:rsidR="00CF51D8" w:rsidRDefault="00CF51D8" w:rsidP="00CF51D8">
      <w:pPr>
        <w:rPr>
          <w:lang w:val="en-GB" w:eastAsia="zh-CN"/>
        </w:rPr>
      </w:pPr>
    </w:p>
    <w:p w14:paraId="0D47CA71" w14:textId="52EA4605" w:rsidR="00CF51D8" w:rsidRDefault="00CF51D8" w:rsidP="00CF51D8">
      <w:pPr>
        <w:rPr>
          <w:lang w:val="en-GB" w:eastAsia="zh-CN"/>
        </w:rPr>
      </w:pPr>
      <w:r>
        <w:rPr>
          <w:noProof/>
        </w:rPr>
        <w:lastRenderedPageBreak/>
        <w:drawing>
          <wp:inline distT="0" distB="0" distL="0" distR="0" wp14:anchorId="008D117A" wp14:editId="3EE418C3">
            <wp:extent cx="5274310" cy="5367020"/>
            <wp:effectExtent l="0" t="0" r="2540" b="5080"/>
            <wp:docPr id="116623762" name="图片 4" descr="图表, 散点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623762" name="图片 4" descr="图表, 散点图&#10;&#10;AI 生成的内容可能不正确。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36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B0E099" w14:textId="2402C3D6" w:rsidR="00CF51D8" w:rsidRPr="00CF51D8" w:rsidRDefault="00CF51D8" w:rsidP="00CF51D8">
      <w:pPr>
        <w:rPr>
          <w:lang w:eastAsia="zh-CN"/>
        </w:rPr>
      </w:pPr>
      <w:bookmarkStart w:id="1" w:name="_Hlk190683063"/>
      <w:bookmarkStart w:id="2" w:name="OLE_LINK69"/>
      <w:r w:rsidRPr="00CF51D8">
        <w:rPr>
          <w:b/>
          <w:bCs/>
          <w:lang w:eastAsia="zh-CN"/>
        </w:rPr>
        <w:t>Figure S1.</w:t>
      </w:r>
      <w:bookmarkEnd w:id="1"/>
      <w:bookmarkEnd w:id="2"/>
      <w:r>
        <w:rPr>
          <w:rFonts w:hint="eastAsia"/>
          <w:lang w:eastAsia="zh-CN"/>
        </w:rPr>
        <w:t xml:space="preserve"> </w:t>
      </w:r>
      <w:r w:rsidRPr="00CF51D8">
        <w:rPr>
          <w:lang w:eastAsia="zh-CN"/>
        </w:rPr>
        <w:t>Cell Subpopulation Annotation and Classical Marker Expression.</w:t>
      </w:r>
    </w:p>
    <w:p w14:paraId="39A53090" w14:textId="77777777" w:rsidR="00CF51D8" w:rsidRPr="00CF51D8" w:rsidRDefault="00CF51D8" w:rsidP="00CF51D8">
      <w:pPr>
        <w:rPr>
          <w:lang w:eastAsia="zh-CN"/>
        </w:rPr>
      </w:pPr>
      <w:r w:rsidRPr="00CF51D8">
        <w:rPr>
          <w:lang w:eastAsia="zh-CN"/>
        </w:rPr>
        <w:t>24 clusters were defined as 12 major cell subgroups: T cells (</w:t>
      </w:r>
      <w:r w:rsidRPr="00CF51D8">
        <w:rPr>
          <w:i/>
          <w:iCs/>
          <w:lang w:eastAsia="zh-CN"/>
        </w:rPr>
        <w:t>CD3D</w:t>
      </w:r>
      <w:r w:rsidRPr="00CF51D8">
        <w:rPr>
          <w:lang w:eastAsia="zh-CN"/>
        </w:rPr>
        <w:t xml:space="preserve">, </w:t>
      </w:r>
      <w:r w:rsidRPr="00CF51D8">
        <w:rPr>
          <w:i/>
          <w:iCs/>
          <w:lang w:eastAsia="zh-CN"/>
        </w:rPr>
        <w:t>CD3E</w:t>
      </w:r>
      <w:r w:rsidRPr="00CF51D8">
        <w:rPr>
          <w:lang w:eastAsia="zh-CN"/>
        </w:rPr>
        <w:t>,</w:t>
      </w:r>
      <w:r w:rsidRPr="00CF51D8">
        <w:rPr>
          <w:i/>
          <w:iCs/>
          <w:lang w:eastAsia="zh-CN"/>
        </w:rPr>
        <w:t xml:space="preserve"> CD4</w:t>
      </w:r>
      <w:r w:rsidRPr="00CF51D8">
        <w:rPr>
          <w:lang w:eastAsia="zh-CN"/>
        </w:rPr>
        <w:t>), Fibroblasts (</w:t>
      </w:r>
      <w:r w:rsidRPr="00CF51D8">
        <w:rPr>
          <w:i/>
          <w:iCs/>
          <w:lang w:eastAsia="zh-CN"/>
        </w:rPr>
        <w:t>COL1A1</w:t>
      </w:r>
      <w:r w:rsidRPr="00CF51D8">
        <w:rPr>
          <w:lang w:eastAsia="zh-CN"/>
        </w:rPr>
        <w:t xml:space="preserve">, </w:t>
      </w:r>
      <w:r w:rsidRPr="00CF51D8">
        <w:rPr>
          <w:i/>
          <w:iCs/>
          <w:lang w:eastAsia="zh-CN"/>
        </w:rPr>
        <w:t>DCN</w:t>
      </w:r>
      <w:r w:rsidRPr="00CF51D8">
        <w:rPr>
          <w:lang w:eastAsia="zh-CN"/>
        </w:rPr>
        <w:t>), Endothelial cells (VWF, PECAM1, CLDN5), Monocytes (CD14, LYZ), B cells (</w:t>
      </w:r>
      <w:r w:rsidRPr="00CF51D8">
        <w:rPr>
          <w:i/>
          <w:iCs/>
          <w:lang w:eastAsia="zh-CN"/>
        </w:rPr>
        <w:t>MS4A1</w:t>
      </w:r>
      <w:r w:rsidRPr="00CF51D8">
        <w:rPr>
          <w:lang w:eastAsia="zh-CN"/>
        </w:rPr>
        <w:t xml:space="preserve">, </w:t>
      </w:r>
      <w:r w:rsidRPr="00CF51D8">
        <w:rPr>
          <w:i/>
          <w:iCs/>
          <w:lang w:eastAsia="zh-CN"/>
        </w:rPr>
        <w:t>CD79A</w:t>
      </w:r>
      <w:r w:rsidRPr="00CF51D8">
        <w:rPr>
          <w:lang w:eastAsia="zh-CN"/>
        </w:rPr>
        <w:t>), Reticular cells (</w:t>
      </w:r>
      <w:r w:rsidRPr="00CF51D8">
        <w:rPr>
          <w:i/>
          <w:iCs/>
          <w:lang w:eastAsia="zh-CN"/>
        </w:rPr>
        <w:t>CXCL12</w:t>
      </w:r>
      <w:r w:rsidRPr="00CF51D8">
        <w:rPr>
          <w:lang w:eastAsia="zh-CN"/>
        </w:rPr>
        <w:t xml:space="preserve">, </w:t>
      </w:r>
      <w:r w:rsidRPr="00CF51D8">
        <w:rPr>
          <w:i/>
          <w:iCs/>
          <w:lang w:eastAsia="zh-CN"/>
        </w:rPr>
        <w:t>LEPR</w:t>
      </w:r>
      <w:r w:rsidRPr="00CF51D8">
        <w:rPr>
          <w:lang w:eastAsia="zh-CN"/>
        </w:rPr>
        <w:t>), Granulocytes (</w:t>
      </w:r>
      <w:r w:rsidRPr="00CF51D8">
        <w:rPr>
          <w:i/>
          <w:iCs/>
          <w:lang w:eastAsia="zh-CN"/>
        </w:rPr>
        <w:t>S100A8</w:t>
      </w:r>
      <w:r w:rsidRPr="00CF51D8">
        <w:rPr>
          <w:lang w:eastAsia="zh-CN"/>
        </w:rPr>
        <w:t>), Vascular Smooth Muscle Cells (VSMCs) (</w:t>
      </w:r>
      <w:r w:rsidRPr="00CF51D8">
        <w:rPr>
          <w:i/>
          <w:iCs/>
          <w:lang w:eastAsia="zh-CN"/>
        </w:rPr>
        <w:t>ACTA2</w:t>
      </w:r>
      <w:r w:rsidRPr="00CF51D8">
        <w:rPr>
          <w:lang w:eastAsia="zh-CN"/>
        </w:rPr>
        <w:t xml:space="preserve">, </w:t>
      </w:r>
      <w:r w:rsidRPr="00CF51D8">
        <w:rPr>
          <w:i/>
          <w:iCs/>
          <w:lang w:eastAsia="zh-CN"/>
        </w:rPr>
        <w:t>MYH11</w:t>
      </w:r>
      <w:r w:rsidRPr="00CF51D8">
        <w:rPr>
          <w:lang w:eastAsia="zh-CN"/>
        </w:rPr>
        <w:t xml:space="preserve">, </w:t>
      </w:r>
      <w:r w:rsidRPr="00CF51D8">
        <w:rPr>
          <w:i/>
          <w:iCs/>
          <w:lang w:eastAsia="zh-CN"/>
        </w:rPr>
        <w:t>TAGLN</w:t>
      </w:r>
      <w:r w:rsidRPr="00CF51D8">
        <w:rPr>
          <w:lang w:eastAsia="zh-CN"/>
        </w:rPr>
        <w:t>), Erythroid cells (</w:t>
      </w:r>
      <w:r w:rsidRPr="00CF51D8">
        <w:rPr>
          <w:i/>
          <w:iCs/>
          <w:lang w:eastAsia="zh-CN"/>
        </w:rPr>
        <w:t>GYPA</w:t>
      </w:r>
      <w:r w:rsidRPr="00CF51D8">
        <w:rPr>
          <w:lang w:eastAsia="zh-CN"/>
        </w:rPr>
        <w:t xml:space="preserve">, </w:t>
      </w:r>
      <w:r w:rsidRPr="00CF51D8">
        <w:rPr>
          <w:i/>
          <w:iCs/>
          <w:lang w:eastAsia="zh-CN"/>
        </w:rPr>
        <w:t>HBB</w:t>
      </w:r>
      <w:r w:rsidRPr="00CF51D8">
        <w:rPr>
          <w:lang w:eastAsia="zh-CN"/>
        </w:rPr>
        <w:t>), Osteoblasts (</w:t>
      </w:r>
      <w:r w:rsidRPr="00CF51D8">
        <w:rPr>
          <w:i/>
          <w:iCs/>
          <w:lang w:eastAsia="zh-CN"/>
        </w:rPr>
        <w:t>RUNX2</w:t>
      </w:r>
      <w:r w:rsidRPr="00CF51D8">
        <w:rPr>
          <w:lang w:eastAsia="zh-CN"/>
        </w:rPr>
        <w:t xml:space="preserve">, </w:t>
      </w:r>
      <w:r w:rsidRPr="00CF51D8">
        <w:rPr>
          <w:i/>
          <w:iCs/>
          <w:lang w:eastAsia="zh-CN"/>
        </w:rPr>
        <w:t>SP7</w:t>
      </w:r>
      <w:r w:rsidRPr="00CF51D8">
        <w:rPr>
          <w:lang w:eastAsia="zh-CN"/>
        </w:rPr>
        <w:t xml:space="preserve">, </w:t>
      </w:r>
      <w:r w:rsidRPr="00CF51D8">
        <w:rPr>
          <w:i/>
          <w:iCs/>
          <w:lang w:eastAsia="zh-CN"/>
        </w:rPr>
        <w:t>BGLAP</w:t>
      </w:r>
      <w:r w:rsidRPr="00CF51D8">
        <w:rPr>
          <w:lang w:eastAsia="zh-CN"/>
        </w:rPr>
        <w:t>), Osteoclasts (</w:t>
      </w:r>
      <w:r w:rsidRPr="00CF51D8">
        <w:rPr>
          <w:i/>
          <w:iCs/>
          <w:lang w:eastAsia="zh-CN"/>
        </w:rPr>
        <w:t>CTSK</w:t>
      </w:r>
      <w:r w:rsidRPr="00CF51D8">
        <w:rPr>
          <w:lang w:eastAsia="zh-CN"/>
        </w:rPr>
        <w:t xml:space="preserve">, </w:t>
      </w:r>
      <w:r w:rsidRPr="00CF51D8">
        <w:rPr>
          <w:i/>
          <w:iCs/>
          <w:lang w:eastAsia="zh-CN"/>
        </w:rPr>
        <w:t>ACP5</w:t>
      </w:r>
      <w:r w:rsidRPr="00CF51D8">
        <w:rPr>
          <w:lang w:eastAsia="zh-CN"/>
        </w:rPr>
        <w:t xml:space="preserve">, </w:t>
      </w:r>
      <w:r w:rsidRPr="00CF51D8">
        <w:rPr>
          <w:i/>
          <w:iCs/>
          <w:lang w:eastAsia="zh-CN"/>
        </w:rPr>
        <w:t>NFATC1</w:t>
      </w:r>
      <w:r w:rsidRPr="00CF51D8">
        <w:rPr>
          <w:lang w:eastAsia="zh-CN"/>
        </w:rPr>
        <w:t>), and Mast cells (</w:t>
      </w:r>
      <w:r w:rsidRPr="00CF51D8">
        <w:rPr>
          <w:i/>
          <w:iCs/>
          <w:lang w:eastAsia="zh-CN"/>
        </w:rPr>
        <w:t>KIT</w:t>
      </w:r>
      <w:r w:rsidRPr="00CF51D8">
        <w:rPr>
          <w:lang w:eastAsia="zh-CN"/>
        </w:rPr>
        <w:t xml:space="preserve">, </w:t>
      </w:r>
      <w:r w:rsidRPr="00CF51D8">
        <w:rPr>
          <w:i/>
          <w:iCs/>
          <w:lang w:eastAsia="zh-CN"/>
        </w:rPr>
        <w:t>TPSAB1</w:t>
      </w:r>
      <w:r w:rsidRPr="00CF51D8">
        <w:rPr>
          <w:lang w:eastAsia="zh-CN"/>
        </w:rPr>
        <w:t xml:space="preserve">, </w:t>
      </w:r>
      <w:r w:rsidRPr="00CF51D8">
        <w:rPr>
          <w:i/>
          <w:iCs/>
          <w:lang w:eastAsia="zh-CN"/>
        </w:rPr>
        <w:t>CPA3</w:t>
      </w:r>
      <w:r w:rsidRPr="00CF51D8">
        <w:rPr>
          <w:lang w:eastAsia="zh-CN"/>
        </w:rPr>
        <w:t>).</w:t>
      </w:r>
    </w:p>
    <w:p w14:paraId="2CDB1CFB" w14:textId="1144DC22" w:rsidR="00CF51D8" w:rsidRDefault="00CF51D8" w:rsidP="00CF51D8">
      <w:pPr>
        <w:rPr>
          <w:lang w:eastAsia="zh-CN"/>
        </w:rPr>
      </w:pPr>
    </w:p>
    <w:p w14:paraId="21E08A2C" w14:textId="77777777" w:rsidR="00CF51D8" w:rsidRDefault="00CF51D8" w:rsidP="00CF51D8">
      <w:pPr>
        <w:rPr>
          <w:lang w:eastAsia="zh-CN"/>
        </w:rPr>
      </w:pPr>
    </w:p>
    <w:p w14:paraId="338399A8" w14:textId="77777777" w:rsidR="00CF51D8" w:rsidRDefault="00CF51D8" w:rsidP="00CF51D8">
      <w:pPr>
        <w:rPr>
          <w:lang w:eastAsia="zh-CN"/>
        </w:rPr>
      </w:pPr>
    </w:p>
    <w:p w14:paraId="30203C3C" w14:textId="77777777" w:rsidR="00CF51D8" w:rsidRDefault="00CF51D8" w:rsidP="00CF51D8">
      <w:pPr>
        <w:rPr>
          <w:lang w:eastAsia="zh-CN"/>
        </w:rPr>
      </w:pPr>
    </w:p>
    <w:p w14:paraId="5ABC3767" w14:textId="1C7596A1" w:rsidR="00CF51D8" w:rsidRDefault="00CF51D8" w:rsidP="00CF51D8">
      <w:pPr>
        <w:rPr>
          <w:lang w:eastAsia="zh-CN"/>
        </w:rPr>
      </w:pPr>
      <w:r>
        <w:rPr>
          <w:noProof/>
        </w:rPr>
        <w:lastRenderedPageBreak/>
        <w:drawing>
          <wp:inline distT="0" distB="0" distL="0" distR="0" wp14:anchorId="66206C56" wp14:editId="3C7AD9C2">
            <wp:extent cx="5311140" cy="3711575"/>
            <wp:effectExtent l="0" t="0" r="3810" b="3175"/>
            <wp:docPr id="2118217118" name="图片 2" descr="图表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217118" name="图片 2" descr="图表&#10;&#10;AI 生成的内容可能不正确。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1140" cy="371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1A7586" w14:textId="77777777" w:rsidR="00CF51D8" w:rsidRPr="00CF51D8" w:rsidRDefault="00CF51D8" w:rsidP="00CF51D8">
      <w:pPr>
        <w:rPr>
          <w:lang w:eastAsia="zh-CN"/>
        </w:rPr>
      </w:pPr>
      <w:r w:rsidRPr="00CF51D8">
        <w:rPr>
          <w:b/>
          <w:bCs/>
          <w:lang w:eastAsia="zh-CN"/>
        </w:rPr>
        <w:t>Figure S2.</w:t>
      </w:r>
      <w:r w:rsidRPr="00CF51D8">
        <w:rPr>
          <w:lang w:eastAsia="zh-CN"/>
        </w:rPr>
        <w:t xml:space="preserve"> DotPlot of Four Causal Biomarkers from Musculoskeletal Tissues Across Cell Subpopulations.</w:t>
      </w:r>
    </w:p>
    <w:p w14:paraId="0C1B7631" w14:textId="77777777" w:rsidR="00CF51D8" w:rsidRPr="00CF51D8" w:rsidRDefault="00CF51D8" w:rsidP="00CF51D8">
      <w:pPr>
        <w:rPr>
          <w:lang w:eastAsia="zh-CN"/>
        </w:rPr>
      </w:pPr>
      <w:r w:rsidRPr="00CF51D8">
        <w:rPr>
          <w:i/>
          <w:iCs/>
          <w:lang w:eastAsia="zh-CN"/>
        </w:rPr>
        <w:t>TSC22D4</w:t>
      </w:r>
      <w:r w:rsidRPr="00CF51D8">
        <w:rPr>
          <w:lang w:eastAsia="zh-CN"/>
        </w:rPr>
        <w:t xml:space="preserve"> was predominantly highly expressed in T_cell_4 and B_cell_2, </w:t>
      </w:r>
      <w:r w:rsidRPr="00CF51D8">
        <w:rPr>
          <w:i/>
          <w:iCs/>
          <w:lang w:eastAsia="zh-CN"/>
        </w:rPr>
        <w:t>LIPA</w:t>
      </w:r>
      <w:r w:rsidRPr="00CF51D8">
        <w:rPr>
          <w:lang w:eastAsia="zh-CN"/>
        </w:rPr>
        <w:t xml:space="preserve"> was mainly highly expressed in Monocyte_2, and </w:t>
      </w:r>
      <w:r w:rsidRPr="00CF51D8">
        <w:rPr>
          <w:i/>
          <w:iCs/>
          <w:lang w:eastAsia="zh-CN"/>
        </w:rPr>
        <w:t>PPIC</w:t>
      </w:r>
      <w:r w:rsidRPr="00CF51D8">
        <w:rPr>
          <w:lang w:eastAsia="zh-CN"/>
        </w:rPr>
        <w:t xml:space="preserve"> was highly expressed in Fibroblast_1, Reticular_1, and Osteoblast_1. These six subpopulations were primarily included in the subsequent cell–cell communication analysis.</w:t>
      </w:r>
    </w:p>
    <w:p w14:paraId="2172C047" w14:textId="77777777" w:rsidR="00CF51D8" w:rsidRDefault="00CF51D8" w:rsidP="00CF51D8">
      <w:pPr>
        <w:rPr>
          <w:lang w:eastAsia="zh-CN"/>
        </w:rPr>
      </w:pPr>
    </w:p>
    <w:p w14:paraId="58C1DF5C" w14:textId="77777777" w:rsidR="00CF51D8" w:rsidRDefault="00CF51D8" w:rsidP="00CF51D8">
      <w:pPr>
        <w:rPr>
          <w:lang w:eastAsia="zh-CN"/>
        </w:rPr>
      </w:pPr>
    </w:p>
    <w:p w14:paraId="77589AA0" w14:textId="77777777" w:rsidR="00CF51D8" w:rsidRDefault="00CF51D8" w:rsidP="00CF51D8">
      <w:pPr>
        <w:rPr>
          <w:lang w:eastAsia="zh-CN"/>
        </w:rPr>
      </w:pPr>
    </w:p>
    <w:p w14:paraId="164A3CDB" w14:textId="77777777" w:rsidR="00CF51D8" w:rsidRDefault="00CF51D8" w:rsidP="00CF51D8">
      <w:pPr>
        <w:rPr>
          <w:lang w:eastAsia="zh-CN"/>
        </w:rPr>
      </w:pPr>
    </w:p>
    <w:p w14:paraId="3EC0CE9B" w14:textId="77777777" w:rsidR="00CF51D8" w:rsidRDefault="00CF51D8" w:rsidP="00CF51D8">
      <w:pPr>
        <w:rPr>
          <w:lang w:eastAsia="zh-CN"/>
        </w:rPr>
      </w:pPr>
    </w:p>
    <w:p w14:paraId="57466873" w14:textId="77777777" w:rsidR="00CF51D8" w:rsidRDefault="00CF51D8" w:rsidP="00CF51D8">
      <w:pPr>
        <w:rPr>
          <w:lang w:eastAsia="zh-CN"/>
        </w:rPr>
      </w:pPr>
    </w:p>
    <w:p w14:paraId="3F8D851F" w14:textId="77777777" w:rsidR="00CF51D8" w:rsidRDefault="00CF51D8" w:rsidP="00CF51D8">
      <w:pPr>
        <w:rPr>
          <w:lang w:eastAsia="zh-CN"/>
        </w:rPr>
      </w:pPr>
    </w:p>
    <w:p w14:paraId="0524983B" w14:textId="77777777" w:rsidR="00CF51D8" w:rsidRDefault="00CF51D8" w:rsidP="00CF51D8">
      <w:pPr>
        <w:rPr>
          <w:lang w:eastAsia="zh-CN"/>
        </w:rPr>
      </w:pPr>
    </w:p>
    <w:p w14:paraId="2D74363E" w14:textId="77777777" w:rsidR="00CF51D8" w:rsidRDefault="00CF51D8" w:rsidP="00CF51D8">
      <w:pPr>
        <w:rPr>
          <w:lang w:eastAsia="zh-CN"/>
        </w:rPr>
      </w:pPr>
    </w:p>
    <w:p w14:paraId="7CFA5E0F" w14:textId="77777777" w:rsidR="00CF51D8" w:rsidRDefault="00CF51D8" w:rsidP="00CF51D8">
      <w:pPr>
        <w:rPr>
          <w:lang w:eastAsia="zh-CN"/>
        </w:rPr>
      </w:pPr>
    </w:p>
    <w:p w14:paraId="38D97887" w14:textId="77777777" w:rsidR="00CF51D8" w:rsidRDefault="00CF51D8" w:rsidP="00CF51D8">
      <w:pPr>
        <w:rPr>
          <w:lang w:eastAsia="zh-CN"/>
        </w:rPr>
      </w:pPr>
    </w:p>
    <w:p w14:paraId="06921A72" w14:textId="77777777" w:rsidR="00CF51D8" w:rsidRDefault="00CF51D8" w:rsidP="00CF51D8">
      <w:pPr>
        <w:rPr>
          <w:lang w:eastAsia="zh-CN"/>
        </w:rPr>
      </w:pPr>
    </w:p>
    <w:p w14:paraId="37C57614" w14:textId="7863059D" w:rsidR="00CF51D8" w:rsidRDefault="00CE11AE" w:rsidP="00CF51D8">
      <w:pPr>
        <w:rPr>
          <w:lang w:eastAsia="zh-CN"/>
        </w:rPr>
      </w:pPr>
      <w:r>
        <w:rPr>
          <w:noProof/>
        </w:rPr>
        <w:lastRenderedPageBreak/>
        <w:drawing>
          <wp:inline distT="0" distB="0" distL="0" distR="0" wp14:anchorId="694EA6D0" wp14:editId="70392D03">
            <wp:extent cx="5943600" cy="2333625"/>
            <wp:effectExtent l="0" t="0" r="0" b="0"/>
            <wp:docPr id="168164012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B8BFA2" w14:textId="77777777" w:rsidR="00CF51D8" w:rsidRPr="00CF51D8" w:rsidRDefault="00CF51D8" w:rsidP="00CF51D8">
      <w:pPr>
        <w:rPr>
          <w:lang w:eastAsia="zh-CN"/>
        </w:rPr>
      </w:pPr>
      <w:r w:rsidRPr="00CF51D8">
        <w:rPr>
          <w:b/>
          <w:bCs/>
          <w:lang w:eastAsia="zh-CN"/>
        </w:rPr>
        <w:t>Figure S3.</w:t>
      </w:r>
      <w:r w:rsidRPr="00CF51D8">
        <w:rPr>
          <w:lang w:eastAsia="zh-CN"/>
        </w:rPr>
        <w:t xml:space="preserve"> Chord diagram showing the sender–receiver relationships of major signaling pathways among six cell subpopulations.</w:t>
      </w:r>
    </w:p>
    <w:p w14:paraId="42EEE3B1" w14:textId="0D6DEF03" w:rsidR="00CF51D8" w:rsidRPr="00CF51D8" w:rsidRDefault="00CF51D8" w:rsidP="00CF51D8">
      <w:pPr>
        <w:rPr>
          <w:lang w:eastAsia="zh-CN"/>
        </w:rPr>
      </w:pPr>
      <w:r w:rsidRPr="00CF51D8">
        <w:rPr>
          <w:lang w:eastAsia="zh-CN"/>
        </w:rPr>
        <w:t>Fibroblast_1 subpopulation acted as the primary sender for COLLAGEN and MIF signals, while Reticular_1 was the primary sender for MK signals.</w:t>
      </w:r>
    </w:p>
    <w:sectPr w:rsidR="00CF51D8" w:rsidRPr="00CF51D8" w:rsidSect="008527D6">
      <w:footerReference w:type="default" r:id="rId11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EFD4A" w14:textId="77777777" w:rsidR="00E64EE1" w:rsidRDefault="00E64EE1" w:rsidP="00503E45">
      <w:pPr>
        <w:spacing w:line="240" w:lineRule="auto"/>
      </w:pPr>
      <w:r>
        <w:separator/>
      </w:r>
    </w:p>
  </w:endnote>
  <w:endnote w:type="continuationSeparator" w:id="0">
    <w:p w14:paraId="18DF0393" w14:textId="77777777" w:rsidR="00E64EE1" w:rsidRDefault="00E64EE1" w:rsidP="00503E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37093002"/>
      <w:docPartObj>
        <w:docPartGallery w:val="Page Numbers (Bottom of Page)"/>
        <w:docPartUnique/>
      </w:docPartObj>
    </w:sdtPr>
    <w:sdtContent>
      <w:p w14:paraId="49E4CB93" w14:textId="77777777" w:rsidR="00D91443" w:rsidRDefault="00AE01EE">
        <w:pPr>
          <w:pStyle w:val="Footer"/>
          <w:jc w:val="center"/>
        </w:pPr>
        <w:r>
          <w:fldChar w:fldCharType="begin"/>
        </w:r>
        <w:r w:rsidR="00B454EB">
          <w:instrText xml:space="preserve"> PAGE   \* MERGEFORMAT </w:instrText>
        </w:r>
        <w:r>
          <w:fldChar w:fldCharType="separate"/>
        </w:r>
        <w:r w:rsidR="00D4766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9629753" w14:textId="77777777" w:rsidR="00D91443" w:rsidRDefault="00D914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01AF8" w14:textId="77777777" w:rsidR="00E64EE1" w:rsidRDefault="00E64EE1" w:rsidP="00503E45">
      <w:pPr>
        <w:spacing w:line="240" w:lineRule="auto"/>
      </w:pPr>
      <w:r>
        <w:separator/>
      </w:r>
    </w:p>
  </w:footnote>
  <w:footnote w:type="continuationSeparator" w:id="0">
    <w:p w14:paraId="07E6FD38" w14:textId="77777777" w:rsidR="00E64EE1" w:rsidRDefault="00E64EE1" w:rsidP="00503E4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B4216"/>
    <w:multiLevelType w:val="hybridMultilevel"/>
    <w:tmpl w:val="1D5A53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F0F14"/>
    <w:multiLevelType w:val="multilevel"/>
    <w:tmpl w:val="29A88C3A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Arial" w:hAnsi="Arial" w:hint="default"/>
      </w:rPr>
    </w:lvl>
    <w:lvl w:ilvl="2">
      <w:start w:val="1"/>
      <w:numFmt w:val="decimal"/>
      <w:lvlText w:val="%3.%2.%1"/>
      <w:lvlJc w:val="left"/>
      <w:pPr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%3.%2.%1.%4."/>
      <w:lvlJc w:val="left"/>
      <w:pPr>
        <w:ind w:left="1440" w:hanging="360"/>
      </w:pPr>
      <w:rPr>
        <w:rFonts w:ascii="Arial" w:hAnsi="Arial" w:hint="default"/>
      </w:rPr>
    </w:lvl>
    <w:lvl w:ilvl="4">
      <w:start w:val="1"/>
      <w:numFmt w:val="decimal"/>
      <w:lvlText w:val="%5.%4.%3.%2.%1"/>
      <w:lvlJc w:val="left"/>
      <w:pPr>
        <w:ind w:left="1800" w:hanging="360"/>
      </w:pPr>
      <w:rPr>
        <w:rFonts w:ascii="Arial" w:hAnsi="Aria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7234D50"/>
    <w:multiLevelType w:val="hybridMultilevel"/>
    <w:tmpl w:val="53E025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9B2F70"/>
    <w:multiLevelType w:val="hybridMultilevel"/>
    <w:tmpl w:val="159454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B46E78"/>
    <w:multiLevelType w:val="hybridMultilevel"/>
    <w:tmpl w:val="EBA472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0128C8"/>
    <w:multiLevelType w:val="hybridMultilevel"/>
    <w:tmpl w:val="59360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0C12F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40752BC"/>
    <w:multiLevelType w:val="hybridMultilevel"/>
    <w:tmpl w:val="90E4E7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330CDD"/>
    <w:multiLevelType w:val="hybridMultilevel"/>
    <w:tmpl w:val="5A144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DE5CF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3DC4BB7"/>
    <w:multiLevelType w:val="hybridMultilevel"/>
    <w:tmpl w:val="E2E070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1E68F9"/>
    <w:multiLevelType w:val="hybridMultilevel"/>
    <w:tmpl w:val="BA68D2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274371"/>
    <w:multiLevelType w:val="multilevel"/>
    <w:tmpl w:val="AF3C417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431A056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D8A630E"/>
    <w:multiLevelType w:val="hybridMultilevel"/>
    <w:tmpl w:val="AEB841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8F3EDD"/>
    <w:multiLevelType w:val="multilevel"/>
    <w:tmpl w:val="23F01536"/>
    <w:numStyleLink w:val="JMSACLOriginalResearchArticle"/>
  </w:abstractNum>
  <w:abstractNum w:abstractNumId="16" w15:restartNumberingAfterBreak="0">
    <w:nsid w:val="53EA0C00"/>
    <w:multiLevelType w:val="hybridMultilevel"/>
    <w:tmpl w:val="3FDEB9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7923B2B"/>
    <w:multiLevelType w:val="hybridMultilevel"/>
    <w:tmpl w:val="5E4639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A51CF6"/>
    <w:multiLevelType w:val="hybridMultilevel"/>
    <w:tmpl w:val="69AC62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0239D1"/>
    <w:multiLevelType w:val="multilevel"/>
    <w:tmpl w:val="589238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0" w15:restartNumberingAfterBreak="0">
    <w:nsid w:val="6633716B"/>
    <w:multiLevelType w:val="hybridMultilevel"/>
    <w:tmpl w:val="BA48E7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C07D9E"/>
    <w:multiLevelType w:val="hybridMultilevel"/>
    <w:tmpl w:val="D7B012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3D7F12"/>
    <w:multiLevelType w:val="multilevel"/>
    <w:tmpl w:val="23F01536"/>
    <w:styleLink w:val="JMSACLOriginalResearchArticle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ascii="Arial" w:hAnsi="Arial" w:hint="default"/>
        <w:b/>
        <w:sz w:val="24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ascii="Arial" w:hAnsi="Arial" w:hint="default"/>
        <w:b/>
        <w:sz w:val="24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ascii="Arial" w:hAnsi="Arial" w:hint="default"/>
        <w:b/>
        <w:sz w:val="24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ascii="Arial" w:hAnsi="Arial" w:hint="default"/>
        <w:b/>
        <w:sz w:val="24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ascii="Arial" w:hAnsi="Arial" w:hint="default"/>
        <w:b/>
        <w:sz w:val="24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3" w15:restartNumberingAfterBreak="0">
    <w:nsid w:val="7624170D"/>
    <w:multiLevelType w:val="hybridMultilevel"/>
    <w:tmpl w:val="01CC36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602A47"/>
    <w:multiLevelType w:val="hybridMultilevel"/>
    <w:tmpl w:val="2EE2F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FD12E2"/>
    <w:multiLevelType w:val="hybridMultilevel"/>
    <w:tmpl w:val="8DCEB7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5642093">
    <w:abstractNumId w:val="10"/>
  </w:num>
  <w:num w:numId="2" w16cid:durableId="1364360633">
    <w:abstractNumId w:val="19"/>
  </w:num>
  <w:num w:numId="3" w16cid:durableId="1465078340">
    <w:abstractNumId w:val="24"/>
  </w:num>
  <w:num w:numId="4" w16cid:durableId="1767538458">
    <w:abstractNumId w:val="18"/>
  </w:num>
  <w:num w:numId="5" w16cid:durableId="951981341">
    <w:abstractNumId w:val="16"/>
  </w:num>
  <w:num w:numId="6" w16cid:durableId="1935477006">
    <w:abstractNumId w:val="8"/>
  </w:num>
  <w:num w:numId="7" w16cid:durableId="2001302719">
    <w:abstractNumId w:val="2"/>
  </w:num>
  <w:num w:numId="8" w16cid:durableId="2108692127">
    <w:abstractNumId w:val="25"/>
  </w:num>
  <w:num w:numId="9" w16cid:durableId="1281302769">
    <w:abstractNumId w:val="7"/>
  </w:num>
  <w:num w:numId="10" w16cid:durableId="791288059">
    <w:abstractNumId w:val="20"/>
  </w:num>
  <w:num w:numId="11" w16cid:durableId="920144721">
    <w:abstractNumId w:val="3"/>
  </w:num>
  <w:num w:numId="12" w16cid:durableId="585575462">
    <w:abstractNumId w:val="23"/>
  </w:num>
  <w:num w:numId="13" w16cid:durableId="776632784">
    <w:abstractNumId w:val="0"/>
  </w:num>
  <w:num w:numId="14" w16cid:durableId="2087217364">
    <w:abstractNumId w:val="17"/>
  </w:num>
  <w:num w:numId="15" w16cid:durableId="1823622474">
    <w:abstractNumId w:val="14"/>
  </w:num>
  <w:num w:numId="16" w16cid:durableId="167410799">
    <w:abstractNumId w:val="4"/>
  </w:num>
  <w:num w:numId="17" w16cid:durableId="983849268">
    <w:abstractNumId w:val="5"/>
  </w:num>
  <w:num w:numId="18" w16cid:durableId="1023171876">
    <w:abstractNumId w:val="21"/>
  </w:num>
  <w:num w:numId="19" w16cid:durableId="128404894">
    <w:abstractNumId w:val="1"/>
  </w:num>
  <w:num w:numId="20" w16cid:durableId="1693530893">
    <w:abstractNumId w:val="13"/>
  </w:num>
  <w:num w:numId="21" w16cid:durableId="120805793">
    <w:abstractNumId w:val="13"/>
  </w:num>
  <w:num w:numId="22" w16cid:durableId="400712302">
    <w:abstractNumId w:val="12"/>
  </w:num>
  <w:num w:numId="23" w16cid:durableId="1117943138">
    <w:abstractNumId w:val="22"/>
  </w:num>
  <w:num w:numId="24" w16cid:durableId="4048439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58279146">
    <w:abstractNumId w:val="6"/>
  </w:num>
  <w:num w:numId="26" w16cid:durableId="581452023">
    <w:abstractNumId w:val="15"/>
    <w:lvlOverride w:ilvl="0">
      <w:lvl w:ilvl="0">
        <w:start w:val="1"/>
        <w:numFmt w:val="decimal"/>
        <w:pStyle w:val="Heading1"/>
        <w:lvlText w:val="%1."/>
        <w:lvlJc w:val="left"/>
        <w:pPr>
          <w:ind w:left="432" w:hanging="432"/>
        </w:pPr>
        <w:rPr>
          <w:rFonts w:ascii="Arial" w:hAnsi="Arial" w:hint="default"/>
          <w:b/>
          <w:sz w:val="24"/>
        </w:rPr>
      </w:lvl>
    </w:lvlOverride>
    <w:lvlOverride w:ilvl="1">
      <w:lvl w:ilvl="1">
        <w:start w:val="1"/>
        <w:numFmt w:val="decimal"/>
        <w:pStyle w:val="Heading2"/>
        <w:lvlText w:val="%1.%2."/>
        <w:lvlJc w:val="left"/>
        <w:pPr>
          <w:ind w:left="576" w:hanging="576"/>
        </w:pPr>
        <w:rPr>
          <w:rFonts w:ascii="Arial" w:hAnsi="Arial" w:hint="default"/>
          <w:b/>
          <w:i w:val="0"/>
          <w:sz w:val="22"/>
        </w:rPr>
      </w:lvl>
    </w:lvlOverride>
    <w:lvlOverride w:ilvl="2">
      <w:lvl w:ilvl="2">
        <w:start w:val="1"/>
        <w:numFmt w:val="decimal"/>
        <w:pStyle w:val="Heading3"/>
        <w:lvlText w:val="%1.%2.%3."/>
        <w:lvlJc w:val="left"/>
        <w:pPr>
          <w:ind w:left="720" w:hanging="720"/>
        </w:pPr>
        <w:rPr>
          <w:rFonts w:ascii="Arial" w:hAnsi="Arial" w:hint="default"/>
          <w:b/>
          <w:i/>
          <w:sz w:val="22"/>
        </w:rPr>
      </w:lvl>
    </w:lvlOverride>
    <w:lvlOverride w:ilvl="3">
      <w:lvl w:ilvl="3">
        <w:start w:val="1"/>
        <w:numFmt w:val="decimal"/>
        <w:pStyle w:val="Heading4"/>
        <w:lvlText w:val="%1.%2.%3.%4."/>
        <w:lvlJc w:val="left"/>
        <w:pPr>
          <w:ind w:left="864" w:hanging="864"/>
        </w:pPr>
        <w:rPr>
          <w:rFonts w:ascii="Arial" w:hAnsi="Arial" w:hint="default"/>
          <w:b/>
          <w:i/>
          <w:sz w:val="20"/>
        </w:rPr>
      </w:lvl>
    </w:lvlOverride>
    <w:lvlOverride w:ilvl="4">
      <w:lvl w:ilvl="4">
        <w:start w:val="1"/>
        <w:numFmt w:val="decimal"/>
        <w:pStyle w:val="Heading5"/>
        <w:lvlText w:val="%1.%2.%3.%4.%5."/>
        <w:lvlJc w:val="left"/>
        <w:pPr>
          <w:ind w:left="1008" w:hanging="1008"/>
        </w:pPr>
        <w:rPr>
          <w:rFonts w:ascii="Arial" w:hAnsi="Arial" w:hint="default"/>
          <w:b w:val="0"/>
          <w:i/>
          <w:sz w:val="20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7" w16cid:durableId="920673752">
    <w:abstractNumId w:val="9"/>
  </w:num>
  <w:num w:numId="28" w16cid:durableId="1947999245">
    <w:abstractNumId w:val="11"/>
  </w:num>
  <w:num w:numId="29" w16cid:durableId="1710765399">
    <w:abstractNumId w:val="15"/>
    <w:lvlOverride w:ilvl="0">
      <w:lvl w:ilvl="0">
        <w:start w:val="1"/>
        <w:numFmt w:val="decimal"/>
        <w:pStyle w:val="Heading1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0" w16cid:durableId="520121153">
    <w:abstractNumId w:val="15"/>
    <w:lvlOverride w:ilvl="0">
      <w:startOverride w:val="1"/>
      <w:lvl w:ilvl="0">
        <w:start w:val="1"/>
        <w:numFmt w:val="decimal"/>
        <w:pStyle w:val="Heading1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Heading2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Heading3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pStyle w:val="Heading4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pStyle w:val="Heading5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7D6"/>
    <w:rsid w:val="0000628A"/>
    <w:rsid w:val="00072E82"/>
    <w:rsid w:val="00085452"/>
    <w:rsid w:val="000875BA"/>
    <w:rsid w:val="000C514A"/>
    <w:rsid w:val="001021A1"/>
    <w:rsid w:val="0010226A"/>
    <w:rsid w:val="00102343"/>
    <w:rsid w:val="00106EDB"/>
    <w:rsid w:val="0011281F"/>
    <w:rsid w:val="00113A52"/>
    <w:rsid w:val="00115BC7"/>
    <w:rsid w:val="00130AEC"/>
    <w:rsid w:val="00151B56"/>
    <w:rsid w:val="00154CCF"/>
    <w:rsid w:val="00156BE9"/>
    <w:rsid w:val="00161E95"/>
    <w:rsid w:val="00163C7C"/>
    <w:rsid w:val="00164D49"/>
    <w:rsid w:val="00170432"/>
    <w:rsid w:val="001752FC"/>
    <w:rsid w:val="001820D1"/>
    <w:rsid w:val="0018278B"/>
    <w:rsid w:val="001A40E8"/>
    <w:rsid w:val="001A46AE"/>
    <w:rsid w:val="001B2D40"/>
    <w:rsid w:val="001B3B85"/>
    <w:rsid w:val="001B3F30"/>
    <w:rsid w:val="001D0C8A"/>
    <w:rsid w:val="001D3A70"/>
    <w:rsid w:val="001F182E"/>
    <w:rsid w:val="001F1CF8"/>
    <w:rsid w:val="001F3433"/>
    <w:rsid w:val="00206F63"/>
    <w:rsid w:val="00236459"/>
    <w:rsid w:val="0024421E"/>
    <w:rsid w:val="00257A49"/>
    <w:rsid w:val="0028303C"/>
    <w:rsid w:val="00284298"/>
    <w:rsid w:val="002A72C2"/>
    <w:rsid w:val="002A7717"/>
    <w:rsid w:val="002B2414"/>
    <w:rsid w:val="002D4E36"/>
    <w:rsid w:val="003078C6"/>
    <w:rsid w:val="0033313D"/>
    <w:rsid w:val="003334C3"/>
    <w:rsid w:val="00361C73"/>
    <w:rsid w:val="00371366"/>
    <w:rsid w:val="003748D0"/>
    <w:rsid w:val="003A0F64"/>
    <w:rsid w:val="003B2A95"/>
    <w:rsid w:val="003B4185"/>
    <w:rsid w:val="003C18EB"/>
    <w:rsid w:val="003D7A57"/>
    <w:rsid w:val="003E1883"/>
    <w:rsid w:val="003E45DF"/>
    <w:rsid w:val="003E6A9D"/>
    <w:rsid w:val="003F45E5"/>
    <w:rsid w:val="003F5630"/>
    <w:rsid w:val="003F7039"/>
    <w:rsid w:val="003F7B7A"/>
    <w:rsid w:val="004011A1"/>
    <w:rsid w:val="00403595"/>
    <w:rsid w:val="00413393"/>
    <w:rsid w:val="00414166"/>
    <w:rsid w:val="004145FF"/>
    <w:rsid w:val="00422E4D"/>
    <w:rsid w:val="00460E69"/>
    <w:rsid w:val="00477D96"/>
    <w:rsid w:val="00482065"/>
    <w:rsid w:val="004930D2"/>
    <w:rsid w:val="004935CB"/>
    <w:rsid w:val="00493FAC"/>
    <w:rsid w:val="004A398A"/>
    <w:rsid w:val="004A4602"/>
    <w:rsid w:val="004A6920"/>
    <w:rsid w:val="004B20E1"/>
    <w:rsid w:val="004B2B56"/>
    <w:rsid w:val="004E1AE5"/>
    <w:rsid w:val="004E320C"/>
    <w:rsid w:val="004F0367"/>
    <w:rsid w:val="004F2EB2"/>
    <w:rsid w:val="004F7B5E"/>
    <w:rsid w:val="00503798"/>
    <w:rsid w:val="00503C64"/>
    <w:rsid w:val="00503E45"/>
    <w:rsid w:val="00516D5F"/>
    <w:rsid w:val="00520EB5"/>
    <w:rsid w:val="005253EF"/>
    <w:rsid w:val="0052633D"/>
    <w:rsid w:val="00526879"/>
    <w:rsid w:val="0053088C"/>
    <w:rsid w:val="00541631"/>
    <w:rsid w:val="00543EBF"/>
    <w:rsid w:val="0054444D"/>
    <w:rsid w:val="00550B19"/>
    <w:rsid w:val="0055474B"/>
    <w:rsid w:val="00565CD1"/>
    <w:rsid w:val="0057490A"/>
    <w:rsid w:val="005751CA"/>
    <w:rsid w:val="00576F52"/>
    <w:rsid w:val="0059314C"/>
    <w:rsid w:val="0059637F"/>
    <w:rsid w:val="005A18F9"/>
    <w:rsid w:val="005B3B47"/>
    <w:rsid w:val="005B4683"/>
    <w:rsid w:val="005C3DD7"/>
    <w:rsid w:val="005C71AF"/>
    <w:rsid w:val="005E2980"/>
    <w:rsid w:val="005F25EB"/>
    <w:rsid w:val="00600A13"/>
    <w:rsid w:val="00607B31"/>
    <w:rsid w:val="00611754"/>
    <w:rsid w:val="006330A4"/>
    <w:rsid w:val="006338F6"/>
    <w:rsid w:val="0063428B"/>
    <w:rsid w:val="00661D74"/>
    <w:rsid w:val="00663C96"/>
    <w:rsid w:val="006758BD"/>
    <w:rsid w:val="006811F5"/>
    <w:rsid w:val="00683C87"/>
    <w:rsid w:val="006903E8"/>
    <w:rsid w:val="006952AD"/>
    <w:rsid w:val="00695FFB"/>
    <w:rsid w:val="006B5358"/>
    <w:rsid w:val="006B5A17"/>
    <w:rsid w:val="006C7F80"/>
    <w:rsid w:val="006D3081"/>
    <w:rsid w:val="006D7099"/>
    <w:rsid w:val="006E2203"/>
    <w:rsid w:val="006F77F8"/>
    <w:rsid w:val="007004BA"/>
    <w:rsid w:val="00700E21"/>
    <w:rsid w:val="007067EC"/>
    <w:rsid w:val="007174A1"/>
    <w:rsid w:val="007203AA"/>
    <w:rsid w:val="00720452"/>
    <w:rsid w:val="007239D7"/>
    <w:rsid w:val="00724240"/>
    <w:rsid w:val="00745CEF"/>
    <w:rsid w:val="00751BEE"/>
    <w:rsid w:val="00756AE7"/>
    <w:rsid w:val="007622D9"/>
    <w:rsid w:val="007642B7"/>
    <w:rsid w:val="00776506"/>
    <w:rsid w:val="0079070C"/>
    <w:rsid w:val="007A1BBB"/>
    <w:rsid w:val="007A2E6D"/>
    <w:rsid w:val="007A48FD"/>
    <w:rsid w:val="007A5750"/>
    <w:rsid w:val="007C6292"/>
    <w:rsid w:val="007E7675"/>
    <w:rsid w:val="008077B7"/>
    <w:rsid w:val="00810C9C"/>
    <w:rsid w:val="00812C46"/>
    <w:rsid w:val="008156C7"/>
    <w:rsid w:val="00817A7B"/>
    <w:rsid w:val="0083341B"/>
    <w:rsid w:val="00843348"/>
    <w:rsid w:val="008509BA"/>
    <w:rsid w:val="00851446"/>
    <w:rsid w:val="008527D6"/>
    <w:rsid w:val="00860F9D"/>
    <w:rsid w:val="008616C4"/>
    <w:rsid w:val="00861D33"/>
    <w:rsid w:val="00864B33"/>
    <w:rsid w:val="0088105C"/>
    <w:rsid w:val="008816A8"/>
    <w:rsid w:val="008A780E"/>
    <w:rsid w:val="008C2CEB"/>
    <w:rsid w:val="008E175B"/>
    <w:rsid w:val="008E27D2"/>
    <w:rsid w:val="008E724F"/>
    <w:rsid w:val="00901AA3"/>
    <w:rsid w:val="00906760"/>
    <w:rsid w:val="00912DEB"/>
    <w:rsid w:val="00920047"/>
    <w:rsid w:val="00947D86"/>
    <w:rsid w:val="00952A00"/>
    <w:rsid w:val="0095539B"/>
    <w:rsid w:val="009836E7"/>
    <w:rsid w:val="0098638E"/>
    <w:rsid w:val="0099525F"/>
    <w:rsid w:val="009B5CED"/>
    <w:rsid w:val="009B7992"/>
    <w:rsid w:val="009C4194"/>
    <w:rsid w:val="009C76C9"/>
    <w:rsid w:val="009D14E9"/>
    <w:rsid w:val="009D1815"/>
    <w:rsid w:val="009E6914"/>
    <w:rsid w:val="009F3897"/>
    <w:rsid w:val="00A15352"/>
    <w:rsid w:val="00A23195"/>
    <w:rsid w:val="00A25F88"/>
    <w:rsid w:val="00A65C85"/>
    <w:rsid w:val="00A77410"/>
    <w:rsid w:val="00AA6A56"/>
    <w:rsid w:val="00AB54C8"/>
    <w:rsid w:val="00AB7D3E"/>
    <w:rsid w:val="00AE01EE"/>
    <w:rsid w:val="00AE5DDE"/>
    <w:rsid w:val="00AF1A27"/>
    <w:rsid w:val="00B022A0"/>
    <w:rsid w:val="00B200B2"/>
    <w:rsid w:val="00B263A1"/>
    <w:rsid w:val="00B35B5E"/>
    <w:rsid w:val="00B454EB"/>
    <w:rsid w:val="00B671DD"/>
    <w:rsid w:val="00B67611"/>
    <w:rsid w:val="00B706C6"/>
    <w:rsid w:val="00B70FB1"/>
    <w:rsid w:val="00B862FC"/>
    <w:rsid w:val="00B928BA"/>
    <w:rsid w:val="00B9520A"/>
    <w:rsid w:val="00BA2711"/>
    <w:rsid w:val="00BA607C"/>
    <w:rsid w:val="00BD14B7"/>
    <w:rsid w:val="00BD4E12"/>
    <w:rsid w:val="00BE4C93"/>
    <w:rsid w:val="00BE572E"/>
    <w:rsid w:val="00BE5ADC"/>
    <w:rsid w:val="00BE5C9D"/>
    <w:rsid w:val="00BE7E5C"/>
    <w:rsid w:val="00C050CE"/>
    <w:rsid w:val="00C17973"/>
    <w:rsid w:val="00C20597"/>
    <w:rsid w:val="00C22921"/>
    <w:rsid w:val="00C6547D"/>
    <w:rsid w:val="00C65A80"/>
    <w:rsid w:val="00C94214"/>
    <w:rsid w:val="00CB2ABC"/>
    <w:rsid w:val="00CB3983"/>
    <w:rsid w:val="00CB4DFF"/>
    <w:rsid w:val="00CC1B4F"/>
    <w:rsid w:val="00CC6079"/>
    <w:rsid w:val="00CC6992"/>
    <w:rsid w:val="00CE11AE"/>
    <w:rsid w:val="00CE2196"/>
    <w:rsid w:val="00CF2B15"/>
    <w:rsid w:val="00CF51D8"/>
    <w:rsid w:val="00CF6B09"/>
    <w:rsid w:val="00D11932"/>
    <w:rsid w:val="00D172F6"/>
    <w:rsid w:val="00D2078A"/>
    <w:rsid w:val="00D3335B"/>
    <w:rsid w:val="00D342B5"/>
    <w:rsid w:val="00D34F8D"/>
    <w:rsid w:val="00D43332"/>
    <w:rsid w:val="00D46BD2"/>
    <w:rsid w:val="00D47664"/>
    <w:rsid w:val="00D602E4"/>
    <w:rsid w:val="00D6610F"/>
    <w:rsid w:val="00D667F7"/>
    <w:rsid w:val="00D738FF"/>
    <w:rsid w:val="00D839ED"/>
    <w:rsid w:val="00D91443"/>
    <w:rsid w:val="00D945FC"/>
    <w:rsid w:val="00DC474C"/>
    <w:rsid w:val="00DE6C5D"/>
    <w:rsid w:val="00DE79A1"/>
    <w:rsid w:val="00E04B34"/>
    <w:rsid w:val="00E613BB"/>
    <w:rsid w:val="00E64EE1"/>
    <w:rsid w:val="00E70B34"/>
    <w:rsid w:val="00E7117E"/>
    <w:rsid w:val="00E7532D"/>
    <w:rsid w:val="00EB33C8"/>
    <w:rsid w:val="00ED6C5C"/>
    <w:rsid w:val="00EF516B"/>
    <w:rsid w:val="00F00A5B"/>
    <w:rsid w:val="00F11E52"/>
    <w:rsid w:val="00F1598B"/>
    <w:rsid w:val="00F22399"/>
    <w:rsid w:val="00F228D4"/>
    <w:rsid w:val="00F33B66"/>
    <w:rsid w:val="00F374BE"/>
    <w:rsid w:val="00F40E71"/>
    <w:rsid w:val="00F61B9D"/>
    <w:rsid w:val="00FB1FFF"/>
    <w:rsid w:val="00FC7D00"/>
    <w:rsid w:val="00FD0B55"/>
    <w:rsid w:val="00FD7911"/>
    <w:rsid w:val="00FE2E9F"/>
    <w:rsid w:val="00FF03AA"/>
    <w:rsid w:val="00FF7B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4DF668"/>
  <w15:docId w15:val="{423E7CD8-7675-4A38-BB46-ECB4BC44F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kern w:val="2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2065"/>
    <w:pPr>
      <w:spacing w:after="0" w:line="36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AB7D3E"/>
    <w:pPr>
      <w:keepNext/>
      <w:keepLines/>
      <w:numPr>
        <w:numId w:val="26"/>
      </w:numPr>
      <w:outlineLvl w:val="0"/>
    </w:pPr>
    <w:rPr>
      <w:rFonts w:eastAsiaTheme="majorEastAsia" w:cstheme="majorBidi"/>
      <w:b/>
      <w:color w:val="000000" w:themeColor="text1"/>
      <w:sz w:val="24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078C6"/>
    <w:pPr>
      <w:keepNext/>
      <w:keepLines/>
      <w:numPr>
        <w:ilvl w:val="1"/>
        <w:numId w:val="26"/>
      </w:numPr>
      <w:outlineLvl w:val="1"/>
    </w:pPr>
    <w:rPr>
      <w:rFonts w:eastAsiaTheme="majorEastAsia" w:cstheme="majorBidi"/>
      <w:b/>
      <w:color w:val="000000" w:themeColor="text1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B7D3E"/>
    <w:pPr>
      <w:keepNext/>
      <w:keepLines/>
      <w:numPr>
        <w:ilvl w:val="2"/>
        <w:numId w:val="26"/>
      </w:numPr>
      <w:outlineLvl w:val="2"/>
    </w:pPr>
    <w:rPr>
      <w:rFonts w:eastAsiaTheme="majorEastAsia" w:cstheme="majorBidi"/>
      <w:b/>
      <w:i/>
      <w:color w:val="000000" w:themeColor="text1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B7D3E"/>
    <w:pPr>
      <w:keepNext/>
      <w:keepLines/>
      <w:numPr>
        <w:ilvl w:val="3"/>
        <w:numId w:val="26"/>
      </w:numPr>
      <w:outlineLvl w:val="3"/>
    </w:pPr>
    <w:rPr>
      <w:rFonts w:eastAsiaTheme="majorEastAsia" w:cstheme="majorBidi"/>
      <w:b/>
      <w:i/>
      <w:iCs/>
      <w:color w:val="000000" w:themeColor="text1"/>
      <w:sz w:val="2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6610F"/>
    <w:pPr>
      <w:keepNext/>
      <w:keepLines/>
      <w:numPr>
        <w:ilvl w:val="4"/>
        <w:numId w:val="26"/>
      </w:numPr>
      <w:outlineLvl w:val="4"/>
    </w:pPr>
    <w:rPr>
      <w:rFonts w:eastAsiaTheme="majorEastAsia" w:cstheme="majorBidi"/>
      <w:i/>
      <w:color w:val="000000" w:themeColor="text1"/>
      <w:sz w:val="20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8527D6"/>
    <w:pPr>
      <w:keepNext/>
      <w:keepLines/>
      <w:numPr>
        <w:ilvl w:val="5"/>
        <w:numId w:val="22"/>
      </w:numPr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8527D6"/>
    <w:pPr>
      <w:keepNext/>
      <w:keepLines/>
      <w:numPr>
        <w:ilvl w:val="6"/>
        <w:numId w:val="22"/>
      </w:numPr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27D6"/>
    <w:pPr>
      <w:keepNext/>
      <w:keepLines/>
      <w:numPr>
        <w:ilvl w:val="7"/>
        <w:numId w:val="22"/>
      </w:numPr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27D6"/>
    <w:pPr>
      <w:keepNext/>
      <w:keepLines/>
      <w:numPr>
        <w:ilvl w:val="8"/>
        <w:numId w:val="22"/>
      </w:numPr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7D3E"/>
    <w:rPr>
      <w:rFonts w:eastAsiaTheme="majorEastAsia" w:cstheme="majorBidi"/>
      <w:b/>
      <w:color w:val="000000" w:themeColor="text1"/>
      <w:sz w:val="24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078C6"/>
    <w:rPr>
      <w:rFonts w:ascii="Arial" w:eastAsiaTheme="majorEastAsia" w:hAnsi="Arial" w:cstheme="majorBidi"/>
      <w:b/>
      <w:color w:val="000000" w:themeColor="text1"/>
      <w:sz w:val="24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B7D3E"/>
    <w:rPr>
      <w:rFonts w:eastAsiaTheme="majorEastAsia" w:cstheme="majorBidi"/>
      <w:b/>
      <w:i/>
      <w:color w:val="000000" w:themeColor="text1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AB7D3E"/>
    <w:rPr>
      <w:rFonts w:eastAsiaTheme="majorEastAsia" w:cstheme="majorBidi"/>
      <w:b/>
      <w:i/>
      <w:iCs/>
      <w:color w:val="000000" w:themeColor="text1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rsid w:val="00D6610F"/>
    <w:rPr>
      <w:rFonts w:ascii="Arial" w:eastAsiaTheme="majorEastAsia" w:hAnsi="Arial" w:cstheme="majorBidi"/>
      <w:i/>
      <w:color w:val="000000" w:themeColor="text1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rsid w:val="008527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27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27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27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rsid w:val="008527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8527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8527D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27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rsid w:val="008527D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27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rsid w:val="008527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rsid w:val="008527D6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8527D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27D6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rsid w:val="008527D6"/>
    <w:rPr>
      <w:b/>
      <w:bCs/>
      <w:smallCaps/>
      <w:color w:val="365F9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8527D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27D6"/>
    <w:rPr>
      <w:rFonts w:ascii="Calibri" w:hAnsi="Calibri"/>
      <w:sz w:val="24"/>
    </w:rPr>
  </w:style>
  <w:style w:type="character" w:styleId="Hyperlink">
    <w:name w:val="Hyperlink"/>
    <w:basedOn w:val="DefaultParagraphFont"/>
    <w:uiPriority w:val="99"/>
    <w:unhideWhenUsed/>
    <w:rsid w:val="008527D6"/>
    <w:rPr>
      <w:color w:val="0000FF"/>
      <w:u w:val="single"/>
    </w:rPr>
  </w:style>
  <w:style w:type="paragraph" w:customStyle="1" w:styleId="AuthorList">
    <w:name w:val="Author List"/>
    <w:aliases w:val="Keywords,Abstract"/>
    <w:basedOn w:val="Subtitle"/>
    <w:next w:val="Normal"/>
    <w:uiPriority w:val="1"/>
    <w:rsid w:val="008527D6"/>
    <w:pPr>
      <w:numPr>
        <w:ilvl w:val="0"/>
      </w:numPr>
      <w:spacing w:after="0"/>
    </w:pPr>
    <w:rPr>
      <w:rFonts w:ascii="Calibri" w:eastAsiaTheme="minorHAnsi" w:hAnsi="Calibri" w:cs="Times New Roman"/>
      <w:b/>
      <w:color w:val="auto"/>
      <w:spacing w:val="0"/>
      <w:kern w:val="0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8527D6"/>
  </w:style>
  <w:style w:type="character" w:styleId="SubtleEmphasis">
    <w:name w:val="Subtle Emphasis"/>
    <w:basedOn w:val="DefaultParagraphFont"/>
    <w:uiPriority w:val="19"/>
    <w:rsid w:val="002A72C2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2A72C2"/>
    <w:rPr>
      <w:i/>
      <w:iCs/>
    </w:rPr>
  </w:style>
  <w:style w:type="numbering" w:customStyle="1" w:styleId="JMSACLOriginalResearchArticle">
    <w:name w:val="JMSACL Original Research Article"/>
    <w:uiPriority w:val="99"/>
    <w:rsid w:val="00720452"/>
    <w:pPr>
      <w:numPr>
        <w:numId w:val="2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57A4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7A4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308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308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088C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08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088C"/>
    <w:rPr>
      <w:rFonts w:ascii="Arial" w:hAnsi="Arial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17A7B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E5DDE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1D0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F51D8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CF51D8"/>
    <w:rPr>
      <w:sz w:val="18"/>
      <w:szCs w:val="18"/>
    </w:rPr>
  </w:style>
  <w:style w:type="table" w:customStyle="1" w:styleId="1">
    <w:name w:val="网格型1"/>
    <w:basedOn w:val="TableNormal"/>
    <w:next w:val="TableGrid"/>
    <w:uiPriority w:val="39"/>
    <w:rsid w:val="00CF51D8"/>
    <w:pPr>
      <w:spacing w:after="0" w:line="240" w:lineRule="auto"/>
    </w:pPr>
    <w:rPr>
      <w:rFonts w:ascii="DengXian" w:eastAsia="DengXian" w:hAnsi="DengXian" w:cs="Times New Roman"/>
      <w:sz w:val="21"/>
      <w:lang w:eastAsia="zh-C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7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41209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68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15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BC4BAF-8F77-4119-ADF0-C50EC792C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Christopher Herold</dc:creator>
  <cp:lastModifiedBy>MSACL</cp:lastModifiedBy>
  <cp:revision>2</cp:revision>
  <dcterms:created xsi:type="dcterms:W3CDTF">2026-05-21T16:25:00Z</dcterms:created>
  <dcterms:modified xsi:type="dcterms:W3CDTF">2026-05-21T16:25:00Z</dcterms:modified>
</cp:coreProperties>
</file>